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FF5F" w14:textId="77777777" w:rsidR="0052546E" w:rsidRDefault="0052546E" w:rsidP="002D7F11">
      <w:pPr>
        <w:jc w:val="center"/>
        <w:rPr>
          <w:rFonts w:ascii="Times New Roman" w:hAnsi="Times New Roman" w:cs="Times New Roman (Body CS)"/>
          <w:b/>
        </w:rPr>
      </w:pPr>
    </w:p>
    <w:p w14:paraId="7B0F65F8" w14:textId="77777777" w:rsidR="0052546E" w:rsidRDefault="0052546E" w:rsidP="002D7F11">
      <w:pPr>
        <w:jc w:val="center"/>
        <w:rPr>
          <w:rFonts w:ascii="Times New Roman" w:hAnsi="Times New Roman" w:cs="Times New Roman (Body CS)"/>
          <w:b/>
        </w:rPr>
      </w:pPr>
    </w:p>
    <w:p w14:paraId="03724420" w14:textId="70AB008E" w:rsidR="00427965" w:rsidRPr="00F25675" w:rsidRDefault="00CA108E" w:rsidP="00CA108E">
      <w:pPr>
        <w:jc w:val="center"/>
        <w:rPr>
          <w:rFonts w:ascii="Times New Roman" w:hAnsi="Times New Roman" w:cs="Times New Roman (Body CS)"/>
          <w:b/>
        </w:rPr>
      </w:pPr>
      <w:r>
        <w:rPr>
          <w:rFonts w:ascii="Times New Roman" w:hAnsi="Times New Roman" w:cs="Times New Roman (Body CS)"/>
          <w:b/>
        </w:rPr>
        <w:t>THE RIGHT TO CONTROL HOW WE DIE</w:t>
      </w:r>
    </w:p>
    <w:p w14:paraId="51AC357F" w14:textId="77777777" w:rsidR="003737AF" w:rsidRPr="00065C90" w:rsidRDefault="003737AF" w:rsidP="002D7F11">
      <w:pPr>
        <w:jc w:val="center"/>
        <w:rPr>
          <w:rFonts w:ascii="Times New Roman" w:hAnsi="Times New Roman" w:cs="Times New Roman (Body CS)"/>
        </w:rPr>
      </w:pPr>
    </w:p>
    <w:p w14:paraId="568D39FA" w14:textId="77777777" w:rsidR="002D7F11" w:rsidRPr="00065C90" w:rsidRDefault="002D7F11" w:rsidP="002D7F11">
      <w:pPr>
        <w:jc w:val="center"/>
        <w:rPr>
          <w:rFonts w:ascii="Times New Roman" w:hAnsi="Times New Roman" w:cs="Times New Roman (Body CS)"/>
        </w:rPr>
      </w:pPr>
      <w:r w:rsidRPr="00065C90">
        <w:rPr>
          <w:rFonts w:ascii="Times New Roman" w:hAnsi="Times New Roman" w:cs="Times New Roman (Body CS)"/>
        </w:rPr>
        <w:t>Robert S. Olick, JD, PhD</w:t>
      </w:r>
    </w:p>
    <w:p w14:paraId="02F61ACB" w14:textId="77777777" w:rsidR="002D7F11" w:rsidRPr="00065C90" w:rsidRDefault="002D7F11" w:rsidP="002D7F11">
      <w:pPr>
        <w:jc w:val="center"/>
        <w:rPr>
          <w:rFonts w:ascii="Times New Roman" w:hAnsi="Times New Roman" w:cs="Times New Roman (Body CS)"/>
        </w:rPr>
      </w:pPr>
    </w:p>
    <w:p w14:paraId="366E9199" w14:textId="2BA9B6CB" w:rsidR="003737AF" w:rsidRPr="00065C90" w:rsidRDefault="00BD677E" w:rsidP="002D7F11">
      <w:pPr>
        <w:jc w:val="center"/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OLLI </w:t>
      </w:r>
      <w:r w:rsidR="00987F32">
        <w:rPr>
          <w:rFonts w:ascii="Times New Roman" w:hAnsi="Times New Roman" w:cs="Times New Roman (Body CS)"/>
        </w:rPr>
        <w:t>F</w:t>
      </w:r>
      <w:r w:rsidR="00CA108E">
        <w:rPr>
          <w:rFonts w:ascii="Times New Roman" w:hAnsi="Times New Roman" w:cs="Times New Roman (Body CS)"/>
        </w:rPr>
        <w:t xml:space="preserve">ebruary Short </w:t>
      </w:r>
      <w:r w:rsidR="00987F32">
        <w:rPr>
          <w:rFonts w:ascii="Times New Roman" w:hAnsi="Times New Roman" w:cs="Times New Roman (Body CS)"/>
        </w:rPr>
        <w:t>202</w:t>
      </w:r>
      <w:r w:rsidR="00CA108E">
        <w:rPr>
          <w:rFonts w:ascii="Times New Roman" w:hAnsi="Times New Roman" w:cs="Times New Roman (Body CS)"/>
        </w:rPr>
        <w:t>5</w:t>
      </w:r>
    </w:p>
    <w:p w14:paraId="4AD468BC" w14:textId="77777777" w:rsidR="003737AF" w:rsidRPr="00065C90" w:rsidRDefault="003737AF">
      <w:pPr>
        <w:rPr>
          <w:rFonts w:ascii="Times New Roman" w:hAnsi="Times New Roman" w:cs="Times New Roman (Body CS)"/>
        </w:rPr>
      </w:pPr>
    </w:p>
    <w:p w14:paraId="39B5A306" w14:textId="77777777" w:rsidR="003737AF" w:rsidRPr="00057DAC" w:rsidRDefault="003737AF">
      <w:pPr>
        <w:rPr>
          <w:rFonts w:ascii="Times New Roman" w:hAnsi="Times New Roman" w:cs="Times New Roman (Body CS)"/>
          <w:u w:val="single"/>
        </w:rPr>
      </w:pPr>
      <w:r w:rsidRPr="00057DAC">
        <w:rPr>
          <w:rFonts w:ascii="Times New Roman" w:hAnsi="Times New Roman" w:cs="Times New Roman (Body CS)"/>
          <w:u w:val="single"/>
        </w:rPr>
        <w:t>Course Description</w:t>
      </w:r>
    </w:p>
    <w:p w14:paraId="083BFE84" w14:textId="77777777" w:rsidR="003737AF" w:rsidRPr="00065C90" w:rsidRDefault="003737AF">
      <w:pPr>
        <w:rPr>
          <w:rFonts w:ascii="Times New Roman" w:hAnsi="Times New Roman" w:cs="Times New Roman (Body CS)"/>
        </w:rPr>
      </w:pPr>
    </w:p>
    <w:p w14:paraId="4B7C965E" w14:textId="7500293A" w:rsidR="00CA108E" w:rsidRDefault="003737AF">
      <w:pPr>
        <w:rPr>
          <w:rFonts w:ascii="Times New Roman" w:hAnsi="Times New Roman" w:cs="Times New Roman (Body CS)"/>
        </w:rPr>
      </w:pPr>
      <w:r w:rsidRPr="00065C90">
        <w:rPr>
          <w:rFonts w:ascii="Times New Roman" w:hAnsi="Times New Roman" w:cs="Times New Roman (Body CS)"/>
        </w:rPr>
        <w:t xml:space="preserve">This course offers an introduction to </w:t>
      </w:r>
      <w:r w:rsidR="00CA108E">
        <w:rPr>
          <w:rFonts w:ascii="Times New Roman" w:hAnsi="Times New Roman" w:cs="Times New Roman (Body CS)"/>
        </w:rPr>
        <w:t xml:space="preserve">ethical and legal </w:t>
      </w:r>
      <w:r w:rsidRPr="00065C90">
        <w:rPr>
          <w:rFonts w:ascii="Times New Roman" w:hAnsi="Times New Roman" w:cs="Times New Roman (Body CS)"/>
        </w:rPr>
        <w:t>issues in</w:t>
      </w:r>
      <w:r w:rsidR="00CA108E">
        <w:rPr>
          <w:rFonts w:ascii="Times New Roman" w:hAnsi="Times New Roman" w:cs="Times New Roman (Body CS)"/>
        </w:rPr>
        <w:t>volving health care decisions near the end of life.</w:t>
      </w:r>
      <w:r w:rsidRPr="00065C90">
        <w:rPr>
          <w:rFonts w:ascii="Times New Roman" w:hAnsi="Times New Roman" w:cs="Times New Roman (Body CS)"/>
        </w:rPr>
        <w:t xml:space="preserve"> Among the questions addressed are: When and how can patients and families refuse unwanted medical interventions near the end of life? </w:t>
      </w:r>
      <w:r w:rsidR="00F25675">
        <w:rPr>
          <w:rFonts w:ascii="Times New Roman" w:hAnsi="Times New Roman" w:cs="Times New Roman (Body CS)"/>
        </w:rPr>
        <w:t>Can patients choose the time and manner of their own death? When can doctors decide there is nothing more to be done</w:t>
      </w:r>
      <w:r w:rsidR="00CA108E">
        <w:rPr>
          <w:rFonts w:ascii="Times New Roman" w:hAnsi="Times New Roman" w:cs="Times New Roman (Body CS)"/>
        </w:rPr>
        <w:t xml:space="preserve">? Conducted over three sessions, this course goes into greater depth on end-of-life issues than what was covered in Contemporary Issues in Medical Ethics in Fall 2024. </w:t>
      </w:r>
    </w:p>
    <w:p w14:paraId="1F021DB2" w14:textId="77777777" w:rsidR="00CA108E" w:rsidRDefault="00CA108E">
      <w:pPr>
        <w:rPr>
          <w:rFonts w:ascii="Times New Roman" w:hAnsi="Times New Roman" w:cs="Times New Roman (Body CS)"/>
        </w:rPr>
      </w:pPr>
    </w:p>
    <w:p w14:paraId="009FBF8F" w14:textId="7A1668F9" w:rsidR="003737AF" w:rsidRPr="00065C90" w:rsidRDefault="003737AF">
      <w:pPr>
        <w:rPr>
          <w:rFonts w:ascii="Times New Roman" w:hAnsi="Times New Roman" w:cs="Times New Roman (Body CS)"/>
        </w:rPr>
      </w:pPr>
      <w:r w:rsidRPr="00065C90">
        <w:rPr>
          <w:rFonts w:ascii="Times New Roman" w:hAnsi="Times New Roman" w:cs="Times New Roman (Body CS)"/>
        </w:rPr>
        <w:t>This class provide</w:t>
      </w:r>
      <w:r w:rsidR="00CA108E">
        <w:rPr>
          <w:rFonts w:ascii="Times New Roman" w:hAnsi="Times New Roman" w:cs="Times New Roman (Body CS)"/>
        </w:rPr>
        <w:t>s</w:t>
      </w:r>
      <w:r w:rsidRPr="00065C90">
        <w:rPr>
          <w:rFonts w:ascii="Times New Roman" w:hAnsi="Times New Roman" w:cs="Times New Roman (Body CS)"/>
        </w:rPr>
        <w:t xml:space="preserve"> a</w:t>
      </w:r>
      <w:r w:rsidR="00971530" w:rsidRPr="00065C90">
        <w:rPr>
          <w:rFonts w:ascii="Times New Roman" w:hAnsi="Times New Roman" w:cs="Times New Roman (Body CS)"/>
        </w:rPr>
        <w:t>n interdisciplinary</w:t>
      </w:r>
      <w:r w:rsidRPr="00065C90">
        <w:rPr>
          <w:rFonts w:ascii="Times New Roman" w:hAnsi="Times New Roman" w:cs="Times New Roman (Body CS)"/>
        </w:rPr>
        <w:t xml:space="preserve"> framework for thinking about these and other questions</w:t>
      </w:r>
      <w:r w:rsidR="002D7F11" w:rsidRPr="00065C90">
        <w:rPr>
          <w:rFonts w:ascii="Times New Roman" w:hAnsi="Times New Roman" w:cs="Times New Roman (Body CS)"/>
        </w:rPr>
        <w:t xml:space="preserve"> in medical ethics</w:t>
      </w:r>
      <w:r w:rsidRPr="00065C90">
        <w:rPr>
          <w:rFonts w:ascii="Times New Roman" w:hAnsi="Times New Roman" w:cs="Times New Roman (Body CS)"/>
        </w:rPr>
        <w:t xml:space="preserve">. Class sessions will </w:t>
      </w:r>
      <w:r w:rsidR="00CA108E">
        <w:rPr>
          <w:rFonts w:ascii="Times New Roman" w:hAnsi="Times New Roman" w:cs="Times New Roman (Body CS)"/>
        </w:rPr>
        <w:t xml:space="preserve">be a mix of lecture and </w:t>
      </w:r>
      <w:r w:rsidRPr="00065C90">
        <w:rPr>
          <w:rFonts w:ascii="Times New Roman" w:hAnsi="Times New Roman" w:cs="Times New Roman (Body CS)"/>
        </w:rPr>
        <w:t>interactive</w:t>
      </w:r>
      <w:r w:rsidR="002D7F11" w:rsidRPr="00065C90">
        <w:rPr>
          <w:rFonts w:ascii="Times New Roman" w:hAnsi="Times New Roman" w:cs="Times New Roman (Body CS)"/>
        </w:rPr>
        <w:t>, case-based discussion. Recommended reading</w:t>
      </w:r>
      <w:r w:rsidR="00065C90" w:rsidRPr="00065C90">
        <w:rPr>
          <w:rFonts w:ascii="Times New Roman" w:hAnsi="Times New Roman" w:cs="Times New Roman (Body CS)"/>
        </w:rPr>
        <w:t xml:space="preserve">s </w:t>
      </w:r>
      <w:r w:rsidR="00A9532A">
        <w:rPr>
          <w:rFonts w:ascii="Times New Roman" w:hAnsi="Times New Roman" w:cs="Times New Roman (Body CS)"/>
        </w:rPr>
        <w:t xml:space="preserve">will be 15 </w:t>
      </w:r>
      <w:r w:rsidR="002D7F11" w:rsidRPr="00065C90">
        <w:rPr>
          <w:rFonts w:ascii="Times New Roman" w:hAnsi="Times New Roman" w:cs="Times New Roman (Body CS)"/>
        </w:rPr>
        <w:t xml:space="preserve">pages </w:t>
      </w:r>
      <w:r w:rsidR="00A9532A">
        <w:rPr>
          <w:rFonts w:ascii="Times New Roman" w:hAnsi="Times New Roman" w:cs="Times New Roman (Body CS)"/>
        </w:rPr>
        <w:t xml:space="preserve">or less </w:t>
      </w:r>
      <w:r w:rsidR="00065C90" w:rsidRPr="00065C90">
        <w:rPr>
          <w:rFonts w:ascii="Times New Roman" w:hAnsi="Times New Roman" w:cs="Times New Roman (Body CS)"/>
        </w:rPr>
        <w:t>per session</w:t>
      </w:r>
      <w:r w:rsidR="002D7F11" w:rsidRPr="00065C90">
        <w:rPr>
          <w:rFonts w:ascii="Times New Roman" w:hAnsi="Times New Roman" w:cs="Times New Roman (Body CS)"/>
        </w:rPr>
        <w:t xml:space="preserve">. </w:t>
      </w:r>
      <w:r w:rsidR="00A9532A">
        <w:rPr>
          <w:rFonts w:ascii="Times New Roman" w:hAnsi="Times New Roman" w:cs="Times New Roman (Body CS)"/>
        </w:rPr>
        <w:t>R</w:t>
      </w:r>
      <w:r w:rsidR="002D7F11" w:rsidRPr="00065C90">
        <w:rPr>
          <w:rFonts w:ascii="Times New Roman" w:hAnsi="Times New Roman" w:cs="Times New Roman (Body CS)"/>
        </w:rPr>
        <w:t>eadings will be sent to participants by email.</w:t>
      </w:r>
    </w:p>
    <w:p w14:paraId="77434AF9" w14:textId="2522778A" w:rsidR="003737AF" w:rsidRDefault="003737AF">
      <w:pPr>
        <w:rPr>
          <w:rFonts w:ascii="Times New Roman" w:hAnsi="Times New Roman" w:cs="Times New Roman (Body CS)"/>
        </w:rPr>
      </w:pPr>
    </w:p>
    <w:p w14:paraId="3650B868" w14:textId="54B31ABF" w:rsidR="00057DAC" w:rsidRPr="00057DAC" w:rsidRDefault="00057DAC">
      <w:pPr>
        <w:rPr>
          <w:rFonts w:ascii="Times New Roman" w:hAnsi="Times New Roman" w:cs="Times New Roman (Body CS)"/>
          <w:u w:val="single"/>
        </w:rPr>
      </w:pPr>
      <w:r w:rsidRPr="00057DAC">
        <w:rPr>
          <w:rFonts w:ascii="Times New Roman" w:hAnsi="Times New Roman" w:cs="Times New Roman (Body CS)"/>
          <w:u w:val="single"/>
        </w:rPr>
        <w:t>Class Schedule and Topics</w:t>
      </w:r>
    </w:p>
    <w:p w14:paraId="39481904" w14:textId="77777777" w:rsidR="00A6587C" w:rsidRPr="00065C90" w:rsidRDefault="00A6587C" w:rsidP="003737AF">
      <w:pPr>
        <w:rPr>
          <w:rFonts w:ascii="Times New Roman" w:hAnsi="Times New Roman" w:cs="Times New Roman (Body CS)"/>
        </w:rPr>
      </w:pPr>
    </w:p>
    <w:p w14:paraId="339DC401" w14:textId="4223ECFF" w:rsidR="003737AF" w:rsidRPr="00065C90" w:rsidRDefault="00786337" w:rsidP="003737AF">
      <w:pPr>
        <w:pStyle w:val="ListParagraph"/>
        <w:numPr>
          <w:ilvl w:val="0"/>
          <w:numId w:val="1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The Right to </w:t>
      </w:r>
      <w:r w:rsidR="00CA108E">
        <w:rPr>
          <w:rFonts w:ascii="Times New Roman" w:hAnsi="Times New Roman" w:cs="Times New Roman (Body CS)"/>
        </w:rPr>
        <w:t>Refuse Life-Sustaining Treatment</w:t>
      </w:r>
    </w:p>
    <w:p w14:paraId="467531CE" w14:textId="77777777" w:rsidR="003737AF" w:rsidRPr="00065C90" w:rsidRDefault="003737AF" w:rsidP="003737AF">
      <w:pPr>
        <w:rPr>
          <w:rFonts w:ascii="Times New Roman" w:hAnsi="Times New Roman" w:cs="Times New Roman (Body CS)"/>
        </w:rPr>
      </w:pPr>
    </w:p>
    <w:p w14:paraId="190484B4" w14:textId="350309EC" w:rsidR="003737AF" w:rsidRDefault="00A6587C" w:rsidP="007535E9">
      <w:pPr>
        <w:ind w:left="720"/>
        <w:rPr>
          <w:rFonts w:ascii="Times New Roman" w:hAnsi="Times New Roman" w:cs="Times New Roman (Body CS)"/>
        </w:rPr>
      </w:pPr>
      <w:r w:rsidRPr="00065C90">
        <w:rPr>
          <w:rFonts w:ascii="Times New Roman" w:hAnsi="Times New Roman" w:cs="Times New Roman (Body CS)"/>
        </w:rPr>
        <w:t>Reading:</w:t>
      </w:r>
      <w:r w:rsidR="007140A5" w:rsidRPr="00065C90">
        <w:rPr>
          <w:rFonts w:ascii="Times New Roman" w:hAnsi="Times New Roman" w:cs="Times New Roman (Body CS)"/>
        </w:rPr>
        <w:t xml:space="preserve"> Alan Meisel, et al., </w:t>
      </w:r>
      <w:r w:rsidR="007535E9" w:rsidRPr="00065C90">
        <w:rPr>
          <w:rFonts w:ascii="Times New Roman" w:hAnsi="Times New Roman" w:cs="Times New Roman (Body CS)"/>
        </w:rPr>
        <w:t>“</w:t>
      </w:r>
      <w:r w:rsidR="007140A5" w:rsidRPr="00065C90">
        <w:rPr>
          <w:rFonts w:ascii="Times New Roman" w:hAnsi="Times New Roman" w:cs="Times New Roman (Body CS)"/>
        </w:rPr>
        <w:t>Seven Legal Barriers to End-of-Life Care</w:t>
      </w:r>
      <w:r w:rsidR="007535E9" w:rsidRPr="00065C90">
        <w:rPr>
          <w:rFonts w:ascii="Times New Roman" w:hAnsi="Times New Roman" w:cs="Times New Roman (Body CS)"/>
        </w:rPr>
        <w:t xml:space="preserve">: Myths, Realities, and Grains of Truth,” </w:t>
      </w:r>
      <w:r w:rsidR="007535E9" w:rsidRPr="00065C90">
        <w:rPr>
          <w:rFonts w:ascii="Times New Roman" w:hAnsi="Times New Roman" w:cs="Times New Roman (Body CS)"/>
          <w:i/>
        </w:rPr>
        <w:t>Journal of the American Medical Association</w:t>
      </w:r>
      <w:r w:rsidR="007535E9" w:rsidRPr="00065C90">
        <w:rPr>
          <w:rFonts w:ascii="Times New Roman" w:hAnsi="Times New Roman" w:cs="Times New Roman (Body CS)"/>
        </w:rPr>
        <w:t xml:space="preserve"> 284(19) (2000): 2495-2501.</w:t>
      </w:r>
    </w:p>
    <w:p w14:paraId="1491E52E" w14:textId="3DEC0CD4" w:rsidR="00C46D0B" w:rsidRDefault="00C46D0B" w:rsidP="007535E9">
      <w:pPr>
        <w:ind w:left="720"/>
        <w:rPr>
          <w:rFonts w:ascii="Times New Roman" w:hAnsi="Times New Roman" w:cs="Times New Roman (Body CS)"/>
        </w:rPr>
      </w:pPr>
    </w:p>
    <w:p w14:paraId="23B503FF" w14:textId="6EDBE13F" w:rsidR="00B81A5B" w:rsidRDefault="00B81A5B" w:rsidP="007535E9">
      <w:pPr>
        <w:ind w:left="720"/>
        <w:rPr>
          <w:rFonts w:ascii="Times New Roman" w:hAnsi="Times New Roman"/>
          <w:color w:val="21262B"/>
          <w:szCs w:val="18"/>
        </w:rPr>
      </w:pPr>
      <w:r w:rsidRPr="00F25675">
        <w:rPr>
          <w:rFonts w:ascii="Times New Roman" w:hAnsi="Times New Roman"/>
          <w:color w:val="21262B"/>
          <w:szCs w:val="18"/>
        </w:rPr>
        <w:t>Compassion &amp; Choices</w:t>
      </w:r>
      <w:r>
        <w:rPr>
          <w:rFonts w:ascii="Times New Roman" w:hAnsi="Times New Roman"/>
          <w:color w:val="21262B"/>
          <w:szCs w:val="18"/>
        </w:rPr>
        <w:t xml:space="preserve">. Dementia Provision (Advance Directive Addendum). </w:t>
      </w:r>
      <w:hyperlink r:id="rId7" w:history="1">
        <w:r w:rsidRPr="00047165">
          <w:rPr>
            <w:rStyle w:val="Hyperlink"/>
            <w:rFonts w:ascii="Times New Roman" w:hAnsi="Times New Roman"/>
            <w:szCs w:val="18"/>
          </w:rPr>
          <w:t>https://finalexitnetwork.org/wp-content/uploads/2023/06/Dementia-Adv-Dir_CandC-2020.0629.pdf</w:t>
        </w:r>
      </w:hyperlink>
      <w:r>
        <w:rPr>
          <w:rFonts w:ascii="Times New Roman" w:hAnsi="Times New Roman"/>
          <w:color w:val="21262B"/>
          <w:szCs w:val="18"/>
        </w:rPr>
        <w:t>.</w:t>
      </w:r>
    </w:p>
    <w:p w14:paraId="44361662" w14:textId="0842AD27" w:rsidR="00B81A5B" w:rsidRDefault="00B81A5B" w:rsidP="007535E9">
      <w:pPr>
        <w:ind w:left="720"/>
        <w:rPr>
          <w:rFonts w:ascii="Times New Roman" w:hAnsi="Times New Roman" w:cs="Times New Roman (Body CS)"/>
        </w:rPr>
      </w:pPr>
    </w:p>
    <w:p w14:paraId="00F97595" w14:textId="5BCCE798" w:rsidR="0012553F" w:rsidRDefault="0012553F" w:rsidP="007535E9">
      <w:pPr>
        <w:ind w:left="720"/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Paula Span, </w:t>
      </w:r>
      <w:r>
        <w:rPr>
          <w:rFonts w:ascii="Times New Roman" w:hAnsi="Times New Roman" w:cs="Times New Roman (Body CS)" w:hint="eastAsia"/>
        </w:rPr>
        <w:t>“</w:t>
      </w:r>
      <w:r>
        <w:rPr>
          <w:rFonts w:ascii="Times New Roman" w:hAnsi="Times New Roman" w:cs="Times New Roman (Body CS)"/>
        </w:rPr>
        <w:t>Complexities of Choosing an End Game for Dementia,</w:t>
      </w:r>
      <w:r>
        <w:rPr>
          <w:rFonts w:ascii="Times New Roman" w:hAnsi="Times New Roman" w:cs="Times New Roman (Body CS)" w:hint="eastAsia"/>
        </w:rPr>
        <w:t>”</w:t>
      </w:r>
      <w:r>
        <w:rPr>
          <w:rFonts w:ascii="Times New Roman" w:hAnsi="Times New Roman" w:cs="Times New Roman (Body CS)"/>
        </w:rPr>
        <w:t xml:space="preserve"> </w:t>
      </w:r>
      <w:r w:rsidRPr="002D38F3">
        <w:rPr>
          <w:rFonts w:ascii="Times New Roman" w:hAnsi="Times New Roman" w:cs="Times New Roman (Body CS)"/>
          <w:i/>
        </w:rPr>
        <w:t>New York Times</w:t>
      </w:r>
      <w:r>
        <w:rPr>
          <w:rFonts w:ascii="Times New Roman" w:hAnsi="Times New Roman" w:cs="Times New Roman (Body CS)"/>
        </w:rPr>
        <w:t>, Jan. 19, 2015.</w:t>
      </w:r>
    </w:p>
    <w:p w14:paraId="532CEDCD" w14:textId="77777777" w:rsidR="00B81A5B" w:rsidRDefault="00B81A5B" w:rsidP="00A9532A">
      <w:pPr>
        <w:rPr>
          <w:rFonts w:ascii="Times New Roman" w:hAnsi="Times New Roman" w:cs="Times New Roman (Body CS)"/>
        </w:rPr>
      </w:pPr>
    </w:p>
    <w:p w14:paraId="742AC53A" w14:textId="05F5282C" w:rsidR="00F25675" w:rsidRDefault="00223CE6" w:rsidP="00FC17DF">
      <w:pPr>
        <w:pStyle w:val="ListParagraph"/>
        <w:numPr>
          <w:ilvl w:val="0"/>
          <w:numId w:val="1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Choosing the Time and Manner of Death: </w:t>
      </w:r>
      <w:r w:rsidR="00FC17DF" w:rsidRPr="00FC17DF">
        <w:rPr>
          <w:rFonts w:ascii="Times New Roman" w:hAnsi="Times New Roman" w:cs="Times New Roman (Body CS)"/>
        </w:rPr>
        <w:t>Medical Aid-in-Dying</w:t>
      </w:r>
    </w:p>
    <w:p w14:paraId="2912CBAB" w14:textId="5E597EB4" w:rsidR="00A9532A" w:rsidRDefault="00A9532A" w:rsidP="00A9532A">
      <w:pPr>
        <w:rPr>
          <w:rFonts w:ascii="Times New Roman" w:hAnsi="Times New Roman" w:cs="Times New Roman (Body CS)"/>
        </w:rPr>
      </w:pPr>
    </w:p>
    <w:p w14:paraId="2A5EB029" w14:textId="000435CD" w:rsidR="00A9532A" w:rsidRPr="00A9532A" w:rsidRDefault="00A9532A" w:rsidP="00A9532A">
      <w:pPr>
        <w:ind w:left="720"/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David N. Hoffman and Emily Beer, </w:t>
      </w:r>
      <w:r>
        <w:rPr>
          <w:rFonts w:ascii="Times New Roman" w:hAnsi="Times New Roman" w:cs="Times New Roman (Body CS)" w:hint="eastAsia"/>
        </w:rPr>
        <w:t>“</w:t>
      </w:r>
      <w:r>
        <w:rPr>
          <w:rFonts w:ascii="Times New Roman" w:hAnsi="Times New Roman" w:cs="Times New Roman (Body CS)"/>
        </w:rPr>
        <w:t xml:space="preserve">Have the Arguments For and Against Medical Aid in Dying Stood the Test of </w:t>
      </w:r>
      <w:proofErr w:type="spellStart"/>
      <w:proofErr w:type="gramStart"/>
      <w:r>
        <w:rPr>
          <w:rFonts w:ascii="Times New Roman" w:hAnsi="Times New Roman" w:cs="Times New Roman (Body CS)"/>
        </w:rPr>
        <w:t>Time?,</w:t>
      </w:r>
      <w:proofErr w:type="gramEnd"/>
      <w:r>
        <w:rPr>
          <w:rFonts w:ascii="Times New Roman" w:hAnsi="Times New Roman" w:cs="Times New Roman (Body CS)" w:hint="eastAsia"/>
        </w:rPr>
        <w:t>”</w:t>
      </w:r>
      <w:r w:rsidRPr="00A9532A">
        <w:rPr>
          <w:rFonts w:ascii="Times New Roman" w:hAnsi="Times New Roman" w:cs="Times New Roman (Body CS)"/>
          <w:i/>
        </w:rPr>
        <w:t>Voices</w:t>
      </w:r>
      <w:proofErr w:type="spellEnd"/>
      <w:r w:rsidRPr="00A9532A">
        <w:rPr>
          <w:rFonts w:ascii="Times New Roman" w:hAnsi="Times New Roman" w:cs="Times New Roman (Body CS)"/>
          <w:i/>
        </w:rPr>
        <w:t xml:space="preserve"> in Bioethics</w:t>
      </w:r>
      <w:r>
        <w:rPr>
          <w:rFonts w:ascii="Times New Roman" w:hAnsi="Times New Roman" w:cs="Times New Roman (Body CS)"/>
        </w:rPr>
        <w:t xml:space="preserve"> 9 (2023).</w:t>
      </w:r>
    </w:p>
    <w:p w14:paraId="4F696607" w14:textId="2EC58956" w:rsidR="00F25675" w:rsidRPr="00F25675" w:rsidRDefault="00F25675" w:rsidP="00F25675">
      <w:pPr>
        <w:rPr>
          <w:rFonts w:ascii="Times New Roman" w:hAnsi="Times New Roman" w:cs="Times New Roman (Body CS)"/>
        </w:rPr>
      </w:pPr>
    </w:p>
    <w:p w14:paraId="719A21B6" w14:textId="77777777" w:rsidR="00223CE6" w:rsidRDefault="00223CE6" w:rsidP="0052546E">
      <w:pPr>
        <w:pStyle w:val="ListParagraph"/>
        <w:numPr>
          <w:ilvl w:val="0"/>
          <w:numId w:val="1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When Doctors Say No: The Problem of Medical Futility</w:t>
      </w:r>
    </w:p>
    <w:p w14:paraId="7960D64A" w14:textId="77777777" w:rsidR="00223CE6" w:rsidRDefault="00223CE6" w:rsidP="00223CE6">
      <w:pPr>
        <w:pStyle w:val="ListParagraph"/>
        <w:rPr>
          <w:rFonts w:ascii="Times New Roman" w:hAnsi="Times New Roman"/>
          <w:color w:val="21262B"/>
          <w:szCs w:val="18"/>
        </w:rPr>
      </w:pPr>
    </w:p>
    <w:p w14:paraId="741B5C87" w14:textId="16979ED2" w:rsidR="003737AF" w:rsidRPr="002D38F3" w:rsidRDefault="00223CE6" w:rsidP="002D38F3">
      <w:pPr>
        <w:pStyle w:val="ListParagraph"/>
        <w:rPr>
          <w:rFonts w:ascii="Times New Roman" w:hAnsi="Times New Roman"/>
          <w:color w:val="21262B"/>
          <w:szCs w:val="18"/>
        </w:rPr>
      </w:pPr>
      <w:r w:rsidRPr="00223CE6">
        <w:rPr>
          <w:rFonts w:ascii="Times New Roman" w:hAnsi="Times New Roman"/>
          <w:color w:val="21262B"/>
          <w:szCs w:val="18"/>
        </w:rPr>
        <w:t xml:space="preserve">Reading: Paul R. </w:t>
      </w:r>
      <w:proofErr w:type="spellStart"/>
      <w:r w:rsidRPr="00223CE6">
        <w:rPr>
          <w:rFonts w:ascii="Times New Roman" w:hAnsi="Times New Roman"/>
          <w:color w:val="21262B"/>
          <w:szCs w:val="18"/>
        </w:rPr>
        <w:t>Helft</w:t>
      </w:r>
      <w:proofErr w:type="spellEnd"/>
      <w:r w:rsidRPr="00223CE6">
        <w:rPr>
          <w:rFonts w:ascii="Times New Roman" w:hAnsi="Times New Roman"/>
          <w:color w:val="21262B"/>
          <w:szCs w:val="18"/>
        </w:rPr>
        <w:t xml:space="preserve">, et al., “The Rise and Fall of the Futility Movement,” </w:t>
      </w:r>
      <w:r w:rsidRPr="00223CE6">
        <w:rPr>
          <w:rFonts w:ascii="Times New Roman" w:hAnsi="Times New Roman"/>
          <w:i/>
          <w:color w:val="21262B"/>
          <w:szCs w:val="18"/>
        </w:rPr>
        <w:t xml:space="preserve">New England Journal of Medicine </w:t>
      </w:r>
      <w:r w:rsidRPr="00223CE6">
        <w:rPr>
          <w:rFonts w:ascii="Times New Roman" w:hAnsi="Times New Roman"/>
          <w:color w:val="21262B"/>
          <w:szCs w:val="18"/>
        </w:rPr>
        <w:t>343(4) (2000): 293-296.</w:t>
      </w:r>
      <w:bookmarkStart w:id="0" w:name="_GoBack"/>
      <w:bookmarkEnd w:id="0"/>
    </w:p>
    <w:sectPr w:rsidR="003737AF" w:rsidRPr="002D38F3" w:rsidSect="0078633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F49B9" w14:textId="77777777" w:rsidR="00C95C25" w:rsidRDefault="00C95C25" w:rsidP="00786337">
      <w:r>
        <w:separator/>
      </w:r>
    </w:p>
  </w:endnote>
  <w:endnote w:type="continuationSeparator" w:id="0">
    <w:p w14:paraId="2808F4AB" w14:textId="77777777" w:rsidR="00C95C25" w:rsidRDefault="00C95C25" w:rsidP="007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57376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9734CF" w14:textId="7BAA0300" w:rsidR="00786337" w:rsidRDefault="00786337" w:rsidP="00D335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7C535E" w14:textId="77777777" w:rsidR="00786337" w:rsidRDefault="00786337" w:rsidP="007863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78343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D8AFA" w14:textId="225D42DB" w:rsidR="00786337" w:rsidRDefault="00786337" w:rsidP="00D335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E5E921" w14:textId="77777777" w:rsidR="00786337" w:rsidRDefault="00786337" w:rsidP="007863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50E6" w14:textId="77777777" w:rsidR="00C95C25" w:rsidRDefault="00C95C25" w:rsidP="00786337">
      <w:r>
        <w:separator/>
      </w:r>
    </w:p>
  </w:footnote>
  <w:footnote w:type="continuationSeparator" w:id="0">
    <w:p w14:paraId="4A208650" w14:textId="77777777" w:rsidR="00C95C25" w:rsidRDefault="00C95C25" w:rsidP="0078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71C7"/>
    <w:multiLevelType w:val="hybridMultilevel"/>
    <w:tmpl w:val="C230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AF"/>
    <w:rsid w:val="000070D6"/>
    <w:rsid w:val="00057DAC"/>
    <w:rsid w:val="00065C90"/>
    <w:rsid w:val="0011692C"/>
    <w:rsid w:val="0012553F"/>
    <w:rsid w:val="00182D61"/>
    <w:rsid w:val="00187B10"/>
    <w:rsid w:val="001B14BB"/>
    <w:rsid w:val="001B21C4"/>
    <w:rsid w:val="001F0AC0"/>
    <w:rsid w:val="00223CE6"/>
    <w:rsid w:val="00264C66"/>
    <w:rsid w:val="002D38F3"/>
    <w:rsid w:val="002D7F11"/>
    <w:rsid w:val="003728B5"/>
    <w:rsid w:val="003737AF"/>
    <w:rsid w:val="0052546E"/>
    <w:rsid w:val="005C3FDA"/>
    <w:rsid w:val="006A0345"/>
    <w:rsid w:val="006F592F"/>
    <w:rsid w:val="007140A5"/>
    <w:rsid w:val="007535E9"/>
    <w:rsid w:val="00786337"/>
    <w:rsid w:val="00824FA2"/>
    <w:rsid w:val="00826CE5"/>
    <w:rsid w:val="00971530"/>
    <w:rsid w:val="00987F32"/>
    <w:rsid w:val="009B26C1"/>
    <w:rsid w:val="00A6587C"/>
    <w:rsid w:val="00A9532A"/>
    <w:rsid w:val="00AC6685"/>
    <w:rsid w:val="00AF5734"/>
    <w:rsid w:val="00B81A5B"/>
    <w:rsid w:val="00B943E7"/>
    <w:rsid w:val="00BB6AF3"/>
    <w:rsid w:val="00BC7900"/>
    <w:rsid w:val="00BD677E"/>
    <w:rsid w:val="00C00072"/>
    <w:rsid w:val="00C46D0B"/>
    <w:rsid w:val="00C9582D"/>
    <w:rsid w:val="00C95C25"/>
    <w:rsid w:val="00CA108E"/>
    <w:rsid w:val="00CC120E"/>
    <w:rsid w:val="00D02E0E"/>
    <w:rsid w:val="00D56E41"/>
    <w:rsid w:val="00D67F89"/>
    <w:rsid w:val="00DE3806"/>
    <w:rsid w:val="00E021D2"/>
    <w:rsid w:val="00EC5D9F"/>
    <w:rsid w:val="00F25675"/>
    <w:rsid w:val="00F35826"/>
    <w:rsid w:val="00F50B5A"/>
    <w:rsid w:val="00FA44B0"/>
    <w:rsid w:val="00F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9387"/>
  <w14:defaultImageDpi w14:val="32767"/>
  <w15:chartTrackingRefBased/>
  <w15:docId w15:val="{7C319F8F-D6A8-EB4C-A69F-725C91F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6D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6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26CE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37"/>
  </w:style>
  <w:style w:type="character" w:styleId="PageNumber">
    <w:name w:val="page number"/>
    <w:basedOn w:val="DefaultParagraphFont"/>
    <w:uiPriority w:val="99"/>
    <w:semiHidden/>
    <w:unhideWhenUsed/>
    <w:rsid w:val="0078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nalexitnetwork.org/wp-content/uploads/2023/06/Dementia-Adv-Dir_CandC-2020.06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Olick</dc:creator>
  <cp:keywords/>
  <dc:description/>
  <cp:lastModifiedBy>Robert Olick</cp:lastModifiedBy>
  <cp:revision>7</cp:revision>
  <dcterms:created xsi:type="dcterms:W3CDTF">2024-11-21T15:44:00Z</dcterms:created>
  <dcterms:modified xsi:type="dcterms:W3CDTF">2024-11-21T21:11:00Z</dcterms:modified>
</cp:coreProperties>
</file>